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0E" w:rsidRDefault="0040690E" w:rsidP="0040690E">
      <w:pPr>
        <w:jc w:val="center"/>
        <w:rPr>
          <w:b/>
          <w:sz w:val="28"/>
          <w:szCs w:val="28"/>
        </w:rPr>
      </w:pPr>
    </w:p>
    <w:p w:rsidR="0040690E" w:rsidRDefault="0040690E" w:rsidP="0040690E">
      <w:pPr>
        <w:jc w:val="center"/>
        <w:rPr>
          <w:b/>
          <w:sz w:val="28"/>
          <w:szCs w:val="28"/>
        </w:rPr>
      </w:pPr>
    </w:p>
    <w:p w:rsidR="0040690E" w:rsidRDefault="0040690E" w:rsidP="0040690E">
      <w:pPr>
        <w:jc w:val="center"/>
        <w:rPr>
          <w:b/>
          <w:sz w:val="28"/>
          <w:szCs w:val="28"/>
        </w:rPr>
      </w:pPr>
    </w:p>
    <w:p w:rsidR="0040690E" w:rsidRDefault="0040690E" w:rsidP="0040690E">
      <w:pPr>
        <w:jc w:val="center"/>
        <w:rPr>
          <w:b/>
          <w:sz w:val="28"/>
          <w:szCs w:val="28"/>
        </w:rPr>
      </w:pPr>
    </w:p>
    <w:p w:rsidR="0040690E" w:rsidRDefault="0040690E" w:rsidP="0040690E">
      <w:pPr>
        <w:jc w:val="center"/>
        <w:rPr>
          <w:b/>
          <w:sz w:val="28"/>
          <w:szCs w:val="28"/>
        </w:rPr>
      </w:pPr>
    </w:p>
    <w:p w:rsidR="0040690E" w:rsidRDefault="0071631B" w:rsidP="0040690E">
      <w:pPr>
        <w:jc w:val="center"/>
        <w:rPr>
          <w:b/>
          <w:i/>
          <w:sz w:val="28"/>
          <w:szCs w:val="28"/>
        </w:rPr>
      </w:pPr>
      <w:r w:rsidRPr="0071631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0690E" w:rsidRDefault="0040690E" w:rsidP="0040690E">
      <w:pPr>
        <w:rPr>
          <w:b/>
          <w:sz w:val="28"/>
          <w:szCs w:val="28"/>
        </w:rPr>
      </w:pPr>
    </w:p>
    <w:p w:rsidR="0040690E" w:rsidRDefault="0040690E" w:rsidP="0040690E">
      <w:pPr>
        <w:jc w:val="center"/>
        <w:rPr>
          <w:b/>
          <w:i/>
          <w:sz w:val="28"/>
          <w:szCs w:val="28"/>
        </w:rPr>
      </w:pPr>
    </w:p>
    <w:p w:rsidR="0040690E" w:rsidRDefault="0040690E" w:rsidP="0040690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0690E" w:rsidRDefault="0040690E" w:rsidP="0040690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0690E" w:rsidRDefault="0040690E" w:rsidP="004069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0690E" w:rsidRDefault="0040690E" w:rsidP="004069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0690E" w:rsidRDefault="0040690E" w:rsidP="0040690E">
      <w:pPr>
        <w:rPr>
          <w:b/>
          <w:sz w:val="28"/>
          <w:szCs w:val="28"/>
        </w:rPr>
      </w:pPr>
    </w:p>
    <w:p w:rsidR="0040690E" w:rsidRDefault="0040690E" w:rsidP="0040690E">
      <w:pPr>
        <w:rPr>
          <w:b/>
          <w:sz w:val="28"/>
          <w:szCs w:val="28"/>
        </w:rPr>
      </w:pPr>
    </w:p>
    <w:p w:rsidR="0040690E" w:rsidRDefault="0040690E" w:rsidP="0040690E">
      <w:pPr>
        <w:rPr>
          <w:b/>
          <w:sz w:val="28"/>
          <w:szCs w:val="28"/>
        </w:rPr>
      </w:pPr>
    </w:p>
    <w:p w:rsidR="0040690E" w:rsidRDefault="0040690E" w:rsidP="0040690E">
      <w:pPr>
        <w:rPr>
          <w:b/>
          <w:sz w:val="28"/>
          <w:szCs w:val="28"/>
        </w:rPr>
      </w:pPr>
    </w:p>
    <w:p w:rsidR="0040690E" w:rsidRDefault="0040690E" w:rsidP="00406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25                                                                   от  26  сентября   2023г.</w:t>
      </w:r>
    </w:p>
    <w:p w:rsidR="0071631B" w:rsidRDefault="0071631B"/>
    <w:p w:rsidR="0040690E" w:rsidRDefault="0040690E"/>
    <w:p w:rsidR="0040690E" w:rsidRDefault="0040690E"/>
    <w:p w:rsidR="0040690E" w:rsidRDefault="0040690E"/>
    <w:p w:rsidR="0040690E" w:rsidRDefault="0040690E"/>
    <w:p w:rsidR="0040690E" w:rsidRDefault="0040690E"/>
    <w:p w:rsidR="0040690E" w:rsidRDefault="0040690E"/>
    <w:p w:rsidR="0040690E" w:rsidRDefault="0040690E"/>
    <w:p w:rsidR="0040690E" w:rsidRDefault="0040690E" w:rsidP="0040690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lastRenderedPageBreak/>
        <w:t>РОСРЕЕСТР ИНФОРМИРУЕТ</w:t>
      </w:r>
    </w:p>
    <w:p w:rsidR="0040690E" w:rsidRDefault="0040690E" w:rsidP="0040690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40690E" w:rsidRPr="00677ACF" w:rsidRDefault="0040690E" w:rsidP="0040690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677ACF">
        <w:rPr>
          <w:rFonts w:ascii="Segoe UI" w:hAnsi="Segoe UI" w:cs="Segoe UI"/>
          <w:b/>
          <w:noProof/>
          <w:sz w:val="28"/>
        </w:rPr>
        <w:t>Еще четыре геог</w:t>
      </w:r>
      <w:bookmarkStart w:id="0" w:name="_GoBack"/>
      <w:bookmarkEnd w:id="0"/>
      <w:r w:rsidRPr="00677ACF">
        <w:rPr>
          <w:rFonts w:ascii="Segoe UI" w:hAnsi="Segoe UI" w:cs="Segoe UI"/>
          <w:b/>
          <w:noProof/>
          <w:sz w:val="28"/>
        </w:rPr>
        <w:t xml:space="preserve">рафических объекта Новосибирской области </w:t>
      </w:r>
    </w:p>
    <w:p w:rsidR="0040690E" w:rsidRPr="00726E22" w:rsidRDefault="0040690E" w:rsidP="0040690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77ACF">
        <w:rPr>
          <w:rFonts w:ascii="Segoe UI" w:hAnsi="Segoe UI" w:cs="Segoe UI"/>
          <w:b/>
          <w:noProof/>
          <w:sz w:val="28"/>
        </w:rPr>
        <w:t>зарегистрированы в Государственном каталоге</w:t>
      </w:r>
    </w:p>
    <w:p w:rsidR="0040690E" w:rsidRDefault="0040690E" w:rsidP="0040690E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0690E" w:rsidRPr="00677ACF" w:rsidRDefault="0040690E" w:rsidP="0040690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2023 году по результатам проверки Дежурной карты Новосибирской области новосибирским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выявлено четыре незарегистрированных географических наименования: река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Тележенка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болото Карагай,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рям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Филькин в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озеро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Горчик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Краснозерском районе, а также несоответствия типов 11 географических объектов (болото/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рям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), неточная форма написания названия озеро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Мишукино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зарегистрированных в Государственном каталоге географических названий (ГКГН).</w:t>
      </w:r>
      <w:proofErr w:type="gramEnd"/>
    </w:p>
    <w:p w:rsidR="0040690E" w:rsidRPr="00677ACF" w:rsidRDefault="0040690E" w:rsidP="0040690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Информация была направлена в адрес Публично-правовой компании «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которая ведет ГКГН, для внесения информации в реестр наименований.</w:t>
      </w:r>
    </w:p>
    <w:p w:rsidR="0040690E" w:rsidRPr="00677ACF" w:rsidRDefault="0040690E" w:rsidP="0040690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Обновленный реестр наименований географических объектов на территорию Новосибирской области будет размещен на официальном сайте Компании  </w:t>
      </w:r>
      <w:proofErr w:type="spell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cgkipd.ru</w:t>
      </w:r>
      <w:proofErr w:type="spell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разделе Деятельность/Государственный каталог географических названий/Реестры ГКГН.</w:t>
      </w:r>
    </w:p>
    <w:p w:rsidR="0040690E" w:rsidRDefault="0040690E" w:rsidP="0040690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ГКГН содержит более 8700 названий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</w:t>
      </w:r>
      <w:proofErr w:type="gramEnd"/>
      <w:r w:rsidRPr="00677AC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названию географического объекта можно увидеть его административную и географическую привязку.</w:t>
      </w:r>
    </w:p>
    <w:p w:rsidR="0040690E" w:rsidRPr="007C0523" w:rsidRDefault="0040690E" w:rsidP="0040690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0690E" w:rsidRPr="006D233B" w:rsidRDefault="0040690E" w:rsidP="0040690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0690E" w:rsidRDefault="0040690E" w:rsidP="0040690E">
      <w:pPr>
        <w:pBdr>
          <w:bottom w:val="double" w:sz="6" w:space="1" w:color="auto"/>
        </w:pBdr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33EB9" w:rsidRPr="00132B4E" w:rsidRDefault="00833EB9" w:rsidP="00833EB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32B4E">
        <w:rPr>
          <w:rFonts w:ascii="Segoe UI" w:hAnsi="Segoe UI" w:cs="Segoe UI"/>
          <w:b/>
          <w:noProof/>
          <w:sz w:val="28"/>
        </w:rPr>
        <w:t>Нов</w:t>
      </w:r>
      <w:r>
        <w:rPr>
          <w:rFonts w:ascii="Segoe UI" w:hAnsi="Segoe UI" w:cs="Segoe UI"/>
          <w:b/>
          <w:noProof/>
          <w:sz w:val="28"/>
        </w:rPr>
        <w:t>осибирский Росреестр проведет «г</w:t>
      </w:r>
      <w:r w:rsidRPr="00132B4E">
        <w:rPr>
          <w:rFonts w:ascii="Segoe UI" w:hAnsi="Segoe UI" w:cs="Segoe UI"/>
          <w:b/>
          <w:noProof/>
          <w:sz w:val="28"/>
        </w:rPr>
        <w:t>орячую</w:t>
      </w:r>
      <w:r>
        <w:rPr>
          <w:rFonts w:ascii="Segoe UI" w:hAnsi="Segoe UI" w:cs="Segoe UI"/>
          <w:b/>
          <w:noProof/>
          <w:sz w:val="28"/>
        </w:rPr>
        <w:t>» линию</w:t>
      </w:r>
      <w:r w:rsidRPr="00132B4E">
        <w:rPr>
          <w:rFonts w:ascii="Segoe UI" w:hAnsi="Segoe UI" w:cs="Segoe UI"/>
          <w:b/>
          <w:noProof/>
          <w:sz w:val="28"/>
        </w:rPr>
        <w:t xml:space="preserve"> о кадастровом учете и государственной регистрации прав на земельные участки</w:t>
      </w:r>
    </w:p>
    <w:p w:rsidR="00833EB9" w:rsidRDefault="00833EB9" w:rsidP="00833EB9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33EB9" w:rsidRPr="00132B4E" w:rsidRDefault="00833EB9" w:rsidP="00833EB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t xml:space="preserve">28 сентября 2023 года Управление </w:t>
      </w:r>
      <w:proofErr w:type="spellStart"/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ответит на вопросы об оформлении прав на земельные </w:t>
      </w:r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участки, о межевании земельных участков, а также о проведении комплексных кадастровых работ.</w:t>
      </w:r>
    </w:p>
    <w:p w:rsidR="00833EB9" w:rsidRPr="00132B4E" w:rsidRDefault="00833EB9" w:rsidP="00833EB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t>На вопросы жителей региона в рамках «горячей» телефонной линии отвечает Ольга Лазарева - заместитель начальника отдела государственной регистрации недвижимости № 3.</w:t>
      </w:r>
    </w:p>
    <w:p w:rsidR="00833EB9" w:rsidRDefault="00833EB9" w:rsidP="00833EB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32B4E">
        <w:rPr>
          <w:rFonts w:ascii="Segoe UI" w:eastAsia="Times New Roman" w:hAnsi="Segoe UI" w:cs="Segoe UI"/>
          <w:color w:val="000000"/>
          <w:sz w:val="28"/>
          <w:szCs w:val="28"/>
        </w:rPr>
        <w:t>Звонки принимаются с 10.00 до 12.00 по телефону 8 (383) 252-09-80.</w:t>
      </w:r>
    </w:p>
    <w:p w:rsidR="00833EB9" w:rsidRPr="007C0523" w:rsidRDefault="00833EB9" w:rsidP="00833EB9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833EB9" w:rsidRPr="006D233B" w:rsidRDefault="00833EB9" w:rsidP="00833EB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833EB9" w:rsidRDefault="00833EB9" w:rsidP="00833EB9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E3D02" w:rsidRPr="00726E22" w:rsidRDefault="006E3D02" w:rsidP="006E3D0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43896">
        <w:rPr>
          <w:rFonts w:ascii="Segoe UI" w:hAnsi="Segoe UI" w:cs="Segoe UI"/>
          <w:b/>
          <w:noProof/>
          <w:sz w:val="28"/>
        </w:rPr>
        <w:t>Новосибирский Росреестр напоминает: геодезические пункты нужно сохранять</w:t>
      </w:r>
    </w:p>
    <w:p w:rsidR="006E3D02" w:rsidRDefault="006E3D02" w:rsidP="006E3D02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Сеть геодезических пунктов покрывает всю страну, в Новосибирской области их более 3,5 тысяч. Это сооружения, узнать которые можно по внешнему оформлению - металлическим или деревянным пирамидам. Они обозначают, где находятся специальные геодезические точки – центры пунктов.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Геодезические пункты важны для выполнения геодезических работ, для строительства и эксплуатации зданий, межевания земель, в частности, определения границ земельных участков, и других специальных работ. Они могут находиться в городской и сельской местности - на зданиях, на земельных участках юридических лиц и граждан, - в поле, в лесу.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Геодезические пункты охраняются государством, и проблема их сохранения становится все более актуальной.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Учет пунктов государственной геодезической сети и сбор сведений об их сохранности осуществляет Управление </w:t>
      </w:r>
      <w:proofErr w:type="spell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области. Для всех геодезических пунктов региона установлены охранные зоны, проводится плановая работа по их обследованию. Новосибирским </w:t>
      </w:r>
      <w:proofErr w:type="spell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уже обследовано более 2000 пунктов, расположенных на территории области, и по результатам обследования установлено, что у 90% геодезических пунктов утрачены наружные знаки, а 35 пунктов уничтожены полностью.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Очень часто геодезические пункты, размещенные на земле, уничтожаются или оказываются закатанными в асфальт при производстве строительных работ, возведении или сносе зданий, сооружений, строительстве автомобильных дорог, а другие - размещенные на стенах зданий, крышах, - заштукатуриваются, уничтожаются при капитальном ремонте. Металлические пирамиды часто спиливаются и сдаются в пункты приема металла.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От собственников земельных участков, землепользователей, владельцев зданий, сооружений требуется сохранять геодезические пункты, специальные геодезические знаки, знать, что нельзя перемещать и разрушать пункты, к ним следует обеспечивать доступ специалистов. Такая обязанность установлена статьей 42 Земельного кодекса Российской Федерации. Повреждение и уничтожение геодезических пунктов, снос пунктов геодезических сетей, а также материалов, из которых они изготовлены, влекут за собой ответственность согласно статье 7.2 Кодекса Российской Федерации об административных правонарушениях с наложением штрафных санкций.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случае выявления фактов уничтожения или повреждения геодезических пунктов такую информацию необходимо направлять в адрес Управления </w:t>
      </w:r>
      <w:proofErr w:type="spell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любым удобным способом: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лично, по почте на адрес: 630091, г. Новосибирск, ул. Державина,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д. 28; </w:t>
      </w:r>
    </w:p>
    <w:p w:rsidR="006E3D02" w:rsidRPr="00D43896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воспользоваться </w:t>
      </w:r>
      <w:proofErr w:type="spellStart"/>
      <w:proofErr w:type="gram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интернет-сервисом</w:t>
      </w:r>
      <w:proofErr w:type="spellEnd"/>
      <w:proofErr w:type="gram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на официальном сайте </w:t>
      </w:r>
      <w:proofErr w:type="spell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«Обращения граждан </w:t>
      </w:r>
      <w:proofErr w:type="spellStart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online</w:t>
      </w:r>
      <w:proofErr w:type="spellEnd"/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»;</w:t>
      </w:r>
    </w:p>
    <w:p w:rsidR="006E3D02" w:rsidRDefault="006E3D02" w:rsidP="006E3D0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438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посредством электронной почты ogk@54upr.rosreestr.ru.</w:t>
      </w:r>
    </w:p>
    <w:p w:rsidR="006E3D02" w:rsidRDefault="006E3D02" w:rsidP="006E3D0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6E3D02" w:rsidRPr="007C0523" w:rsidRDefault="006E3D02" w:rsidP="006E3D0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6E3D02" w:rsidRPr="006D233B" w:rsidRDefault="006E3D02" w:rsidP="006E3D0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6E3D02" w:rsidRPr="00141714" w:rsidRDefault="006E3D02" w:rsidP="006E3D02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D1AA3" w:rsidRDefault="00FD1AA3" w:rsidP="00FD1AA3">
      <w:pPr>
        <w:pStyle w:val="a3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477A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 регионе увеличилось число земель, вовлеченных в строительство жилья</w:t>
      </w:r>
    </w:p>
    <w:p w:rsidR="00FD1AA3" w:rsidRDefault="00FD1AA3" w:rsidP="00FD1AA3">
      <w:pPr>
        <w:pStyle w:val="a3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Новосибирским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Выбрать свободный земельный участок для строительства жилья поможет сервис </w:t>
      </w:r>
      <w:proofErr w:type="spellStart"/>
      <w:r w:rsidRPr="009007B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 «Земля для стройки», для этого достаточно зайти на Публичную кадастровую карту </w:t>
      </w:r>
      <w:proofErr w:type="spellStart"/>
      <w:r w:rsidRPr="009007B1">
        <w:rPr>
          <w:rFonts w:ascii="Segoe UI" w:hAnsi="Segoe UI" w:cs="Segoe UI"/>
          <w:sz w:val="28"/>
          <w:szCs w:val="28"/>
        </w:rPr>
        <w:t>pkk.rosreestr.ru</w:t>
      </w:r>
      <w:proofErr w:type="spellEnd"/>
      <w:r w:rsidRPr="009007B1">
        <w:rPr>
          <w:rFonts w:ascii="Segoe UI" w:hAnsi="Segoe UI" w:cs="Segoe UI"/>
          <w:sz w:val="28"/>
          <w:szCs w:val="28"/>
        </w:rPr>
        <w:t xml:space="preserve">. 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9007B1">
        <w:rPr>
          <w:rFonts w:ascii="Segoe UI" w:hAnsi="Segoe UI" w:cs="Segoe UI"/>
          <w:color w:val="000000"/>
          <w:sz w:val="28"/>
        </w:rPr>
        <w:br/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         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Росреестр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Роскадастр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оценить и выбрать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домов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возможно использовать 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, – рассказал руководитель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Олег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Скуфинский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.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i/>
          <w:sz w:val="28"/>
          <w:szCs w:val="28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lastRenderedPageBreak/>
        <w:t xml:space="preserve">По словам руководителя Управления </w:t>
      </w:r>
      <w:proofErr w:type="spellStart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по Новосибирской области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Светланы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Рягузовой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Новосибирская область на протяжении многих лет является лидером по строительству жилья в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Сибири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.Р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еализация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данного проекта будет способствовать созданию благоприятных условий для дальнейшего развития региона в целом и повысит уровень его инвестиционной привлекательности»</w:t>
      </w:r>
      <w:r>
        <w:rPr>
          <w:rFonts w:ascii="Segoe UI" w:hAnsi="Segoe UI" w:cs="Segoe UI"/>
          <w:i/>
          <w:color w:val="000000"/>
          <w:sz w:val="28"/>
          <w:shd w:val="clear" w:color="auto" w:fill="FFFFFF"/>
        </w:rPr>
        <w:t>.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FD1AA3" w:rsidRPr="009007B1" w:rsidRDefault="00FD1AA3" w:rsidP="00FD1AA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>
        <w:rPr>
          <w:rFonts w:ascii="Segoe UI" w:hAnsi="Segoe UI" w:cs="Segoe UI"/>
          <w:i/>
          <w:color w:val="000000"/>
          <w:sz w:val="28"/>
          <w:szCs w:val="28"/>
        </w:rPr>
        <w:t>ц</w:t>
      </w:r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итата руководителя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 представлена </w:t>
      </w:r>
    </w:p>
    <w:p w:rsidR="00FD1AA3" w:rsidRPr="009007B1" w:rsidRDefault="00FD1AA3" w:rsidP="00FD1AA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 w:rsidRPr="009007B1">
        <w:rPr>
          <w:rFonts w:ascii="Segoe UI" w:hAnsi="Segoe UI" w:cs="Segoe UI"/>
          <w:i/>
          <w:color w:val="000000"/>
          <w:sz w:val="28"/>
          <w:szCs w:val="28"/>
        </w:rPr>
        <w:t xml:space="preserve">центральным аппаратом 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</w:p>
    <w:p w:rsidR="00FD1AA3" w:rsidRPr="007C0523" w:rsidRDefault="00FD1AA3" w:rsidP="00FD1AA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D1AA3" w:rsidRPr="006D233B" w:rsidRDefault="00FD1AA3" w:rsidP="00FD1AA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6E3D02" w:rsidRDefault="00FD1AA3" w:rsidP="00FD1AA3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D1AA3" w:rsidRPr="00141714" w:rsidRDefault="00FD1AA3" w:rsidP="00FD1AA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CE06D5" w:rsidRDefault="00CE06D5" w:rsidP="00CE06D5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Земля для туризма»: в Новосибирской области определены первые территории</w:t>
      </w:r>
    </w:p>
    <w:p w:rsidR="00CE06D5" w:rsidRPr="008B5AEE" w:rsidRDefault="00CE06D5" w:rsidP="00CE06D5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</w:t>
      </w:r>
      <w:proofErr w:type="spellStart"/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</w:rPr>
        <w:t xml:space="preserve"> пляжного и спортивного до познавательного и этнографического.</w:t>
      </w:r>
    </w:p>
    <w:p w:rsidR="00CE06D5" w:rsidRDefault="00CE06D5" w:rsidP="00CE06D5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lastRenderedPageBreak/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CE06D5" w:rsidRDefault="00CE06D5" w:rsidP="00CE06D5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</w:p>
    <w:p w:rsidR="00CE06D5" w:rsidRPr="008B5AEE" w:rsidRDefault="00CE06D5" w:rsidP="00CE06D5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lastRenderedPageBreak/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CE06D5" w:rsidRDefault="00CE06D5" w:rsidP="00CE06D5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tab/>
      </w:r>
    </w:p>
    <w:p w:rsidR="00CE06D5" w:rsidRPr="008B5AEE" w:rsidRDefault="00CE06D5" w:rsidP="00CE06D5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</w:t>
      </w:r>
      <w:proofErr w:type="spellStart"/>
      <w:r w:rsidRPr="008B5AEE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 xml:space="preserve">Новосибирской области, вызывающие наибольший туристический </w:t>
      </w:r>
      <w:proofErr w:type="spellStart"/>
      <w:r w:rsidRPr="008B5AEE">
        <w:rPr>
          <w:rFonts w:ascii="Segoe UI" w:hAnsi="Segoe UI" w:cs="Segoe UI"/>
          <w:i/>
          <w:sz w:val="28"/>
          <w:szCs w:val="28"/>
        </w:rPr>
        <w:t>интерес</w:t>
      </w:r>
      <w:proofErr w:type="gramStart"/>
      <w:r w:rsidRPr="008B5AEE">
        <w:rPr>
          <w:rFonts w:ascii="Segoe UI" w:hAnsi="Segoe UI" w:cs="Segoe UI"/>
          <w:i/>
          <w:sz w:val="28"/>
          <w:szCs w:val="28"/>
        </w:rPr>
        <w:t>.</w:t>
      </w:r>
      <w:r w:rsidRPr="008B5AEE">
        <w:rPr>
          <w:rFonts w:ascii="Segoe UI" w:hAnsi="Segoe UI" w:cs="Segoe UI"/>
          <w:i/>
          <w:sz w:val="28"/>
          <w:szCs w:val="25"/>
        </w:rPr>
        <w:t>В</w:t>
      </w:r>
      <w:proofErr w:type="spellEnd"/>
      <w:proofErr w:type="gramEnd"/>
      <w:r w:rsidRPr="008B5AEE">
        <w:rPr>
          <w:rFonts w:ascii="Segoe UI" w:hAnsi="Segoe UI" w:cs="Segoe UI"/>
          <w:i/>
          <w:sz w:val="28"/>
          <w:szCs w:val="25"/>
        </w:rPr>
        <w:t xml:space="preserve"> итоге будет создан банк земли для туризма, потенциальные инвесторы смогут выбрать участки в режиме </w:t>
      </w:r>
      <w:proofErr w:type="spellStart"/>
      <w:r w:rsidRPr="008B5AEE">
        <w:rPr>
          <w:rFonts w:ascii="Segoe UI" w:hAnsi="Segoe UI" w:cs="Segoe UI"/>
          <w:i/>
          <w:sz w:val="28"/>
          <w:szCs w:val="25"/>
        </w:rPr>
        <w:t>онлайн</w:t>
      </w:r>
      <w:proofErr w:type="spellEnd"/>
      <w:r w:rsidRPr="008B5AEE">
        <w:rPr>
          <w:rFonts w:ascii="Segoe UI" w:hAnsi="Segoe UI" w:cs="Segoe UI"/>
          <w:i/>
          <w:sz w:val="28"/>
          <w:szCs w:val="25"/>
        </w:rPr>
        <w:t xml:space="preserve">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</w:t>
      </w:r>
      <w:proofErr w:type="spellStart"/>
      <w:r w:rsidRPr="008B5AEE">
        <w:rPr>
          <w:rFonts w:ascii="Segoe UI" w:hAnsi="Segoe UI" w:cs="Segoe UI"/>
          <w:sz w:val="28"/>
          <w:szCs w:val="25"/>
        </w:rPr>
        <w:t>Росреестра</w:t>
      </w:r>
      <w:proofErr w:type="spellEnd"/>
      <w:r w:rsidRPr="008B5AEE">
        <w:rPr>
          <w:rFonts w:ascii="Segoe UI" w:hAnsi="Segoe UI" w:cs="Segoe UI"/>
          <w:sz w:val="28"/>
          <w:szCs w:val="25"/>
        </w:rPr>
        <w:t xml:space="preserve"> </w:t>
      </w:r>
      <w:r w:rsidRPr="008B5AEE">
        <w:rPr>
          <w:rFonts w:ascii="Segoe UI" w:hAnsi="Segoe UI" w:cs="Segoe UI"/>
          <w:b/>
          <w:sz w:val="28"/>
          <w:szCs w:val="25"/>
        </w:rPr>
        <w:t xml:space="preserve">Наталья </w:t>
      </w:r>
      <w:proofErr w:type="spellStart"/>
      <w:r w:rsidRPr="008B5AEE">
        <w:rPr>
          <w:rFonts w:ascii="Segoe UI" w:hAnsi="Segoe UI" w:cs="Segoe UI"/>
          <w:b/>
          <w:sz w:val="28"/>
          <w:szCs w:val="25"/>
        </w:rPr>
        <w:t>Ивчатова</w:t>
      </w:r>
      <w:proofErr w:type="spellEnd"/>
      <w:r w:rsidRPr="008B5AEE">
        <w:rPr>
          <w:rFonts w:ascii="Segoe UI" w:hAnsi="Segoe UI" w:cs="Segoe UI"/>
          <w:sz w:val="28"/>
          <w:szCs w:val="25"/>
        </w:rPr>
        <w:t>.</w:t>
      </w:r>
    </w:p>
    <w:p w:rsidR="00CE06D5" w:rsidRPr="008B5AEE" w:rsidRDefault="00CE06D5" w:rsidP="00CE06D5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r w:rsidRPr="008B5AEE">
        <w:rPr>
          <w:rFonts w:ascii="Segoe UI" w:hAnsi="Segoe UI" w:cs="Segoe UI"/>
          <w:sz w:val="28"/>
        </w:rPr>
        <w:t xml:space="preserve"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</w:t>
      </w:r>
      <w:r w:rsidRPr="008B5AEE">
        <w:rPr>
          <w:rFonts w:ascii="Segoe UI" w:hAnsi="Segoe UI" w:cs="Segoe UI"/>
          <w:sz w:val="28"/>
        </w:rPr>
        <w:lastRenderedPageBreak/>
        <w:t>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CE06D5" w:rsidRPr="008B5AEE" w:rsidRDefault="00CE06D5" w:rsidP="00CE06D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</w:t>
      </w:r>
      <w:proofErr w:type="spellStart"/>
      <w:r w:rsidRPr="008B5AEE">
        <w:rPr>
          <w:rFonts w:ascii="Segoe UI" w:hAnsi="Segoe UI" w:cs="Segoe UI"/>
          <w:sz w:val="28"/>
          <w:shd w:val="clear" w:color="auto" w:fill="FFFFFF"/>
        </w:rPr>
        <w:t>пилотных</w:t>
      </w:r>
      <w:proofErr w:type="spellEnd"/>
      <w:r w:rsidRPr="008B5AEE">
        <w:rPr>
          <w:rFonts w:ascii="Segoe UI" w:hAnsi="Segoe UI" w:cs="Segoe UI"/>
          <w:sz w:val="28"/>
          <w:shd w:val="clear" w:color="auto" w:fill="FFFFFF"/>
        </w:rPr>
        <w:t xml:space="preserve">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proofErr w:type="spellStart"/>
      <w:proofErr w:type="gramStart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CE06D5" w:rsidRDefault="00CE06D5" w:rsidP="00CE06D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CE06D5" w:rsidRPr="006D233B" w:rsidRDefault="00CE06D5" w:rsidP="00CE06D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CE06D5" w:rsidRPr="00141714" w:rsidRDefault="00CE06D5" w:rsidP="00CE06D5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A7551" w:rsidRPr="00CB09B8" w:rsidRDefault="00FA7551" w:rsidP="00FA7551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Кадастровая палата по Новосибирской области рассказала, как получить копии документов</w:t>
      </w:r>
    </w:p>
    <w:p w:rsidR="00FA7551" w:rsidRDefault="00FA7551" w:rsidP="00FA755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Кадастровая палата наделена полномочиями по предоставлению всех видов сведений, 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Запросить копии документов в бумажном виде можно, обратившись с заявлением в ближайший офис центра «</w:t>
      </w:r>
      <w:hyperlink r:id="rId7" w:history="1">
        <w:r>
          <w:rPr>
            <w:rStyle w:val="a6"/>
            <w:rFonts w:ascii="Segoe UI" w:hAnsi="Segoe UI" w:cs="Segoe UI"/>
            <w:color w:val="0563C1"/>
            <w:sz w:val="28"/>
            <w:szCs w:val="28"/>
          </w:rPr>
          <w:t>Мои Документы</w:t>
        </w:r>
      </w:hyperlink>
      <w:r>
        <w:rPr>
          <w:rFonts w:ascii="Segoe UI" w:hAnsi="Segoe UI" w:cs="Segoe UI"/>
          <w:color w:val="000000"/>
          <w:sz w:val="28"/>
          <w:szCs w:val="28"/>
        </w:rPr>
        <w:t>» (МФЦ).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При наличии сертификата электронной подписи и авторизации на портале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можно подать запрос в личном кабинете на официальном сайте </w:t>
      </w:r>
      <w:hyperlink r:id="rId8" w:history="1">
        <w:proofErr w:type="spellStart"/>
        <w:r>
          <w:rPr>
            <w:rStyle w:val="a6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>
        <w:rPr>
          <w:rFonts w:ascii="Segoe UI" w:hAnsi="Segoe UI" w:cs="Segoe UI"/>
          <w:color w:val="000000"/>
          <w:sz w:val="28"/>
          <w:szCs w:val="28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Вопросы о порядке предоставления сведений из ЕГРН жители Новосибирской области могут задать по телефону: 8 (383) 349-95-69, доб.3. </w:t>
      </w:r>
    </w:p>
    <w:p w:rsidR="00FA7551" w:rsidRDefault="00FA7551" w:rsidP="00FA7551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Специалисты Ведомственного центра телефонного обслуживания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(ВЦТО) в круглосуточном режиме отвечают на вопросы граждан по телефону: 8 (800) 100-34-34 (звонок бесплатный).</w:t>
      </w:r>
    </w:p>
    <w:p w:rsidR="00FA7551" w:rsidRPr="007C0523" w:rsidRDefault="00FA7551" w:rsidP="00FA755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A7551" w:rsidRPr="006D233B" w:rsidRDefault="00FA7551" w:rsidP="00FA755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FA7551" w:rsidRPr="00141714" w:rsidRDefault="00FA7551" w:rsidP="00FA755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A7551" w:rsidRPr="00141714" w:rsidRDefault="00FA7551" w:rsidP="00FA75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D4137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51029" w:rsidRDefault="00651029" w:rsidP="00651029">
      <w:pPr>
        <w:pStyle w:val="a3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3A5A0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Профилактические мероприятия защищают землевладельцев от  правонарушений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Новосибирский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  <w:lang/>
        </w:rPr>
        <w:t>Росреестр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 ежегодно проводит комплекс мероприятий по профилактике правонарушений в сфере земельного законодательства. 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>Государственные инспекторы по охране и использованию земель в Новосибирской области назвали самые распространенные нарушения земельного законодательства в регионе: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>- самовольное занятие земельного участка (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  <w:lang/>
        </w:rPr>
        <w:t>самозахват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  <w:lang/>
        </w:rPr>
        <w:t>),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- нецелевое использование земель, например, </w:t>
      </w:r>
      <w:proofErr w:type="gramStart"/>
      <w:r w:rsidRPr="003216E6">
        <w:rPr>
          <w:rFonts w:ascii="Segoe UI" w:eastAsiaTheme="minorHAnsi" w:hAnsi="Segoe UI" w:cs="Segoe UI"/>
          <w:sz w:val="28"/>
          <w:szCs w:val="28"/>
          <w:lang/>
        </w:rPr>
        <w:t>собственник</w:t>
      </w:r>
      <w:proofErr w:type="gramEnd"/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 открыл магазин на участке, предназначенном для ведения личного подсобного хозяйства,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- неиспользование земель, когда заброшенные собственниками участки зарастают сорной травой, создают угрозу свалов и пожаров. </w:t>
      </w:r>
    </w:p>
    <w:p w:rsidR="00651029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Чтобы избежать всех этих нарушений специалисты Управления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  <w:lang/>
        </w:rPr>
        <w:t>Росреестра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 по Новосибирской области проводят различные профилактические мероприятия для владельцев земельных участков. </w:t>
      </w:r>
    </w:p>
    <w:p w:rsidR="00651029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С перечнем обязательных требований можно ознакомиться на официальном сайте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  <w:lang/>
        </w:rPr>
        <w:t>Росреестра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 в сети Интернет </w:t>
      </w:r>
      <w:hyperlink r:id="rId9" w:history="1">
        <w:r w:rsidRPr="003B2A13">
          <w:rPr>
            <w:rStyle w:val="a6"/>
            <w:rFonts w:ascii="Segoe UI" w:eastAsiaTheme="minorHAnsi" w:hAnsi="Segoe UI" w:cs="Segoe UI"/>
            <w:sz w:val="28"/>
            <w:szCs w:val="28"/>
            <w:lang/>
          </w:rPr>
          <w:t>https://rosreestr.gov.ru/activity/gosudarstvennyy-nadzor/trebovaniya-</w:t>
        </w:r>
        <w:r w:rsidRPr="003B2A13">
          <w:rPr>
            <w:rStyle w:val="a6"/>
            <w:rFonts w:ascii="Segoe UI" w:eastAsiaTheme="minorHAnsi" w:hAnsi="Segoe UI" w:cs="Segoe UI"/>
            <w:sz w:val="28"/>
            <w:szCs w:val="28"/>
            <w:lang/>
          </w:rPr>
          <w:lastRenderedPageBreak/>
          <w:t>otsenivaemye-pri-provedenii-nadzora/</w:t>
        </w:r>
      </w:hyperlink>
      <w:r>
        <w:rPr>
          <w:rFonts w:ascii="Segoe UI" w:eastAsiaTheme="minorHAnsi" w:hAnsi="Segoe UI" w:cs="Segoe UI"/>
          <w:sz w:val="28"/>
          <w:szCs w:val="28"/>
          <w:lang/>
        </w:rPr>
        <w:t xml:space="preserve">. 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>Требования земельного законодательства разъясняются землевладельцам при проведении проверок, которых в 2021 году на территории региона состоялось более 1,5 тысяч. В весенне-летний период большое внимание уделяется профилактике пожаров.</w:t>
      </w:r>
    </w:p>
    <w:p w:rsidR="00651029" w:rsidRPr="003216E6" w:rsidRDefault="00651029" w:rsidP="00651029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«Государственные земельные инспекторы работают во взаимодействии с органами муниципального земельного контроля, - говорит заместитель новосибирского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  <w:lang/>
        </w:rPr>
        <w:t>Росреестра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  <w:lang/>
        </w:rPr>
        <w:t xml:space="preserve"> Иван Пархоменко. – За истекший год вынесено 36 предупреждений о недопустимости нарушения требований земельного законодательства. Статистические данные свидетельствуют об эффективности нашей работы в этом направлении».</w:t>
      </w:r>
    </w:p>
    <w:p w:rsidR="00651029" w:rsidRPr="006D233B" w:rsidRDefault="00651029" w:rsidP="0065102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gram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proofErr w:type="gram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651029" w:rsidRPr="00141714" w:rsidRDefault="00651029" w:rsidP="0065102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B86" w:rsidRDefault="007A1B86" w:rsidP="0040690E"/>
    <w:sectPr w:rsidR="007A1B86" w:rsidSect="007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90E"/>
    <w:rsid w:val="0040690E"/>
    <w:rsid w:val="00651029"/>
    <w:rsid w:val="006E3D02"/>
    <w:rsid w:val="0071631B"/>
    <w:rsid w:val="007A1B86"/>
    <w:rsid w:val="00833EB9"/>
    <w:rsid w:val="00CE06D5"/>
    <w:rsid w:val="00FA7551"/>
    <w:rsid w:val="00FD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40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40690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90E"/>
  </w:style>
  <w:style w:type="paragraph" w:styleId="a4">
    <w:name w:val="Balloon Text"/>
    <w:basedOn w:val="a"/>
    <w:link w:val="a5"/>
    <w:uiPriority w:val="99"/>
    <w:semiHidden/>
    <w:unhideWhenUsed/>
    <w:rsid w:val="00CE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D5"/>
    <w:rPr>
      <w:rFonts w:ascii="Tahoma" w:hAnsi="Tahoma" w:cs="Tahoma"/>
      <w:sz w:val="16"/>
      <w:szCs w:val="16"/>
    </w:rPr>
  </w:style>
  <w:style w:type="character" w:styleId="a6">
    <w:name w:val="Hyperlink"/>
    <w:rsid w:val="00FA7551"/>
    <w:rPr>
      <w:color w:val="0000FF"/>
      <w:u w:val="single"/>
    </w:rPr>
  </w:style>
  <w:style w:type="paragraph" w:customStyle="1" w:styleId="ConsPlusNormal">
    <w:name w:val="ConsPlusNormal"/>
    <w:link w:val="ConsPlusNormal0"/>
    <w:rsid w:val="00651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102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osreestr.gov.ru/activity/gosudarstvennyy-nadzor/trebovaniya-otsenivaemye-pri-provedenii-nadz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2100</Words>
  <Characters>11971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2023-09-26T08:17:00Z</dcterms:created>
  <dcterms:modified xsi:type="dcterms:W3CDTF">2023-09-26T08:26:00Z</dcterms:modified>
</cp:coreProperties>
</file>